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E76A" w14:textId="5E21AC97" w:rsidR="00D63437" w:rsidRDefault="00D63437" w:rsidP="00D63437">
      <w:pPr>
        <w:rPr>
          <w:rFonts w:cs="Calibri"/>
          <w:sz w:val="36"/>
          <w:szCs w:val="36"/>
        </w:rPr>
      </w:pPr>
    </w:p>
    <w:p w14:paraId="3B95DE8E" w14:textId="0C5CB5EF" w:rsidR="00D63437" w:rsidRPr="0058110B" w:rsidRDefault="00D63437" w:rsidP="00D6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8110B">
        <w:rPr>
          <w:rFonts w:ascii="Times New Roman" w:hAnsi="Times New Roman"/>
          <w:bCs/>
          <w:sz w:val="24"/>
          <w:szCs w:val="24"/>
        </w:rPr>
        <w:t>KLASA: 400-04/2</w:t>
      </w:r>
      <w:r w:rsidR="0058110B">
        <w:rPr>
          <w:rFonts w:ascii="Times New Roman" w:hAnsi="Times New Roman"/>
          <w:bCs/>
          <w:sz w:val="24"/>
          <w:szCs w:val="24"/>
        </w:rPr>
        <w:t>3</w:t>
      </w:r>
      <w:r w:rsidRPr="0058110B">
        <w:rPr>
          <w:rFonts w:ascii="Times New Roman" w:hAnsi="Times New Roman"/>
          <w:bCs/>
          <w:sz w:val="24"/>
          <w:szCs w:val="24"/>
        </w:rPr>
        <w:t>-01/01</w:t>
      </w:r>
    </w:p>
    <w:p w14:paraId="7F87CDA4" w14:textId="7BDB3E95" w:rsidR="00D63437" w:rsidRPr="00FC4828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8110B">
        <w:rPr>
          <w:rFonts w:ascii="Times New Roman" w:hAnsi="Times New Roman"/>
          <w:bCs/>
          <w:sz w:val="24"/>
          <w:szCs w:val="24"/>
        </w:rPr>
        <w:t>URBROJ: 2127-024</w:t>
      </w:r>
      <w:r w:rsidR="0058110B">
        <w:rPr>
          <w:rFonts w:ascii="Times New Roman" w:hAnsi="Times New Roman"/>
          <w:bCs/>
          <w:sz w:val="24"/>
          <w:szCs w:val="24"/>
        </w:rPr>
        <w:t>/0</w:t>
      </w:r>
      <w:r w:rsidR="00FF408C">
        <w:rPr>
          <w:rFonts w:ascii="Times New Roman" w:hAnsi="Times New Roman"/>
          <w:bCs/>
          <w:sz w:val="24"/>
          <w:szCs w:val="24"/>
        </w:rPr>
        <w:t>1</w:t>
      </w:r>
      <w:r w:rsidR="0058110B">
        <w:rPr>
          <w:rFonts w:ascii="Times New Roman" w:hAnsi="Times New Roman"/>
          <w:bCs/>
          <w:sz w:val="24"/>
          <w:szCs w:val="24"/>
        </w:rPr>
        <w:t>-23-</w:t>
      </w:r>
      <w:r w:rsidRPr="0058110B">
        <w:rPr>
          <w:rFonts w:ascii="Times New Roman" w:hAnsi="Times New Roman"/>
          <w:bCs/>
          <w:sz w:val="24"/>
          <w:szCs w:val="24"/>
        </w:rPr>
        <w:t>03</w:t>
      </w:r>
      <w:r w:rsidRPr="00BC167B">
        <w:rPr>
          <w:rFonts w:ascii="Times New Roman" w:hAnsi="Times New Roman"/>
          <w:bCs/>
          <w:sz w:val="24"/>
          <w:szCs w:val="24"/>
        </w:rPr>
        <w:tab/>
      </w:r>
    </w:p>
    <w:p w14:paraId="17E9078A" w14:textId="5E9B1BA6" w:rsidR="00D63437" w:rsidRDefault="00D63437" w:rsidP="00D6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C167B">
        <w:rPr>
          <w:rFonts w:ascii="Times New Roman" w:hAnsi="Times New Roman"/>
          <w:bCs/>
          <w:sz w:val="24"/>
          <w:szCs w:val="24"/>
        </w:rPr>
        <w:t xml:space="preserve">Grubišno Polje, </w:t>
      </w:r>
      <w:r>
        <w:rPr>
          <w:rFonts w:ascii="Times New Roman" w:hAnsi="Times New Roman"/>
          <w:bCs/>
          <w:sz w:val="24"/>
          <w:szCs w:val="24"/>
        </w:rPr>
        <w:t>31. siječnja  202</w:t>
      </w:r>
      <w:r w:rsidR="002A4CBD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1D2EF74" w14:textId="77777777" w:rsidR="00D63437" w:rsidRPr="00BC167B" w:rsidRDefault="00D63437" w:rsidP="00D6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439296D" w14:textId="77777777" w:rsidR="00D63437" w:rsidRPr="00BD6896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D6896">
        <w:rPr>
          <w:rFonts w:ascii="Times New Roman" w:hAnsi="Times New Roman"/>
          <w:bCs/>
          <w:sz w:val="28"/>
          <w:szCs w:val="28"/>
        </w:rPr>
        <w:t xml:space="preserve">Naziv i adresa obveznika: Srednja škola Bartola Kašića Grubišno Polje  </w:t>
      </w:r>
    </w:p>
    <w:p w14:paraId="4FF73734" w14:textId="77777777" w:rsidR="00D63437" w:rsidRPr="00880BDB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D6896">
        <w:rPr>
          <w:rFonts w:ascii="Times New Roman" w:hAnsi="Times New Roman"/>
          <w:bCs/>
          <w:sz w:val="28"/>
          <w:szCs w:val="28"/>
        </w:rPr>
        <w:t xml:space="preserve">Bartola Kašića 1, 43290 Grubišno Polje                                                                           </w:t>
      </w:r>
    </w:p>
    <w:p w14:paraId="5A0DA26D" w14:textId="77777777" w:rsidR="00D63437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Broj RKP-a: 18889</w:t>
      </w:r>
    </w:p>
    <w:p w14:paraId="581D15F3" w14:textId="77777777" w:rsidR="00D63437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Matični broj: 03082156; OIB: 35152442882</w:t>
      </w:r>
    </w:p>
    <w:p w14:paraId="6EDFE9C2" w14:textId="77777777" w:rsidR="00D63437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Oznaka razine: 31</w:t>
      </w:r>
    </w:p>
    <w:p w14:paraId="1F17B98E" w14:textId="77777777" w:rsidR="00D63437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Šifra djelatnosti: 8532</w:t>
      </w:r>
    </w:p>
    <w:p w14:paraId="6C363CA6" w14:textId="77777777" w:rsidR="00D63437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Razdjel: 000</w:t>
      </w:r>
    </w:p>
    <w:p w14:paraId="77C191C1" w14:textId="77777777" w:rsidR="00D63437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Šifra grada/općine: 139</w:t>
      </w:r>
    </w:p>
    <w:p w14:paraId="58019737" w14:textId="44866862" w:rsidR="00D63437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Žiro račun: HR28 2340 0091 1106 9386 0</w:t>
      </w:r>
    </w:p>
    <w:p w14:paraId="50130DCB" w14:textId="77777777" w:rsidR="00D63437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85F07EB" w14:textId="77777777" w:rsidR="00D63437" w:rsidRDefault="00D63437" w:rsidP="00D63437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80BDB">
        <w:rPr>
          <w:rFonts w:ascii="Times New Roman" w:hAnsi="Times New Roman"/>
          <w:bCs/>
          <w:sz w:val="28"/>
          <w:szCs w:val="28"/>
        </w:rPr>
        <w:t>Bilješke uz financijske izvještaje za razdoblje</w:t>
      </w:r>
    </w:p>
    <w:p w14:paraId="06050568" w14:textId="0361A7DD" w:rsidR="00D63437" w:rsidRPr="00880BDB" w:rsidRDefault="00D63437" w:rsidP="00D63437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80BDB">
        <w:rPr>
          <w:rFonts w:ascii="Times New Roman" w:hAnsi="Times New Roman"/>
          <w:bCs/>
          <w:sz w:val="28"/>
          <w:szCs w:val="28"/>
        </w:rPr>
        <w:t>od 01. siječnja do 31. prosinca  202</w:t>
      </w:r>
      <w:r w:rsidR="002A4CBD">
        <w:rPr>
          <w:rFonts w:ascii="Times New Roman" w:hAnsi="Times New Roman"/>
          <w:bCs/>
          <w:sz w:val="28"/>
          <w:szCs w:val="28"/>
        </w:rPr>
        <w:t>2</w:t>
      </w:r>
      <w:r w:rsidRPr="00880BDB">
        <w:rPr>
          <w:rFonts w:ascii="Times New Roman" w:hAnsi="Times New Roman"/>
          <w:bCs/>
          <w:sz w:val="28"/>
          <w:szCs w:val="28"/>
        </w:rPr>
        <w:t>.</w:t>
      </w:r>
    </w:p>
    <w:p w14:paraId="09AD2666" w14:textId="77777777" w:rsidR="00D63437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2A6D2B2" w14:textId="28C06DF2" w:rsidR="00D63437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Škola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29B3AEC4" w14:textId="77777777" w:rsidR="00FD0C23" w:rsidRDefault="00FD0C23" w:rsidP="00FD0C23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Škola nema ugovornih odnosa koji uz ispunjenje određenih uvjeta, mogu postati obveza ili imovina.</w:t>
      </w:r>
    </w:p>
    <w:p w14:paraId="6D446872" w14:textId="77777777" w:rsidR="00FD0C23" w:rsidRDefault="00FD0C23" w:rsidP="00FD0C23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4BD8">
        <w:rPr>
          <w:rFonts w:ascii="Times New Roman" w:hAnsi="Times New Roman"/>
          <w:bCs/>
          <w:sz w:val="24"/>
          <w:szCs w:val="24"/>
        </w:rPr>
        <w:t xml:space="preserve">Škola </w:t>
      </w:r>
      <w:r>
        <w:rPr>
          <w:rFonts w:ascii="Times New Roman" w:hAnsi="Times New Roman"/>
          <w:bCs/>
          <w:sz w:val="24"/>
          <w:szCs w:val="24"/>
        </w:rPr>
        <w:t>nema sudskih sporova u tijeku.</w:t>
      </w:r>
    </w:p>
    <w:p w14:paraId="79469C73" w14:textId="77777777" w:rsidR="00FD0C23" w:rsidRDefault="00FD0C23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4EDE6FB" w14:textId="77777777" w:rsidR="00D63437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5C30FBE" w14:textId="77777777" w:rsidR="00D63437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21D41">
        <w:rPr>
          <w:rFonts w:ascii="Times New Roman" w:hAnsi="Times New Roman"/>
          <w:b/>
          <w:bCs/>
          <w:sz w:val="24"/>
          <w:szCs w:val="24"/>
        </w:rPr>
        <w:t>1.Bilješke uz Izvještaj o prihodima i rashodima, primicima i izdacima – PR-RAS</w:t>
      </w:r>
    </w:p>
    <w:p w14:paraId="773F965B" w14:textId="77777777" w:rsidR="00D63437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257FA92" w14:textId="77777777" w:rsidR="002A4CBD" w:rsidRDefault="002A4CBD" w:rsidP="00043C1D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Bilješka broj 1.</w:t>
      </w:r>
    </w:p>
    <w:p w14:paraId="4329205D" w14:textId="46BE8F99" w:rsidR="00D63437" w:rsidRDefault="002A4CBD" w:rsidP="00043C1D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6362 - </w:t>
      </w:r>
      <w:r w:rsidR="00D63437" w:rsidRPr="005F05C4">
        <w:rPr>
          <w:rFonts w:ascii="Times New Roman" w:hAnsi="Times New Roman"/>
          <w:sz w:val="24"/>
          <w:szCs w:val="24"/>
        </w:rPr>
        <w:t xml:space="preserve"> </w:t>
      </w:r>
      <w:r w:rsidR="00043C1D">
        <w:rPr>
          <w:rFonts w:ascii="Times New Roman" w:hAnsi="Times New Roman"/>
          <w:sz w:val="24"/>
          <w:szCs w:val="24"/>
        </w:rPr>
        <w:t>Kapitalne pomoći proračunskim korisnicima iz proračuna koji im nije nadležan</w:t>
      </w:r>
      <w:r w:rsidR="00FF408C">
        <w:rPr>
          <w:rFonts w:ascii="Times New Roman" w:hAnsi="Times New Roman"/>
          <w:sz w:val="24"/>
          <w:szCs w:val="24"/>
        </w:rPr>
        <w:t xml:space="preserve"> - </w:t>
      </w:r>
    </w:p>
    <w:p w14:paraId="439FAFEB" w14:textId="4AF6A99F" w:rsidR="00043C1D" w:rsidRDefault="00043C1D" w:rsidP="00043C1D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Ministarstvo znanosti i obrazovanja je </w:t>
      </w:r>
      <w:r w:rsidR="002A4CBD">
        <w:rPr>
          <w:rFonts w:ascii="Times New Roman" w:hAnsi="Times New Roman"/>
          <w:sz w:val="24"/>
          <w:szCs w:val="24"/>
        </w:rPr>
        <w:t>doznačilo Školi sredstva za nabavu lektira i udžbenika za učenike koji su članovi kućanstva koje je korisnik zajamčene minimalne naknade.</w:t>
      </w:r>
    </w:p>
    <w:p w14:paraId="73D603D6" w14:textId="1466AEAC" w:rsidR="002A4CBD" w:rsidRDefault="002A4CBD" w:rsidP="00043C1D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Bilješka broj 2.</w:t>
      </w:r>
    </w:p>
    <w:p w14:paraId="44DEB395" w14:textId="467F571A" w:rsidR="00043C1D" w:rsidRDefault="002A4CBD" w:rsidP="00043C1D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6381 - </w:t>
      </w:r>
      <w:r w:rsidR="00043C1D">
        <w:rPr>
          <w:rFonts w:ascii="Times New Roman" w:hAnsi="Times New Roman"/>
          <w:sz w:val="24"/>
          <w:szCs w:val="24"/>
        </w:rPr>
        <w:t xml:space="preserve">Tekuće pomoći temeljem prijenosa EU sredstava – Temeljem upute Ministarstva financija sredstva </w:t>
      </w:r>
      <w:r w:rsidR="00D25A7E">
        <w:rPr>
          <w:rFonts w:ascii="Times New Roman" w:hAnsi="Times New Roman"/>
          <w:sz w:val="24"/>
          <w:szCs w:val="24"/>
        </w:rPr>
        <w:t xml:space="preserve">koja </w:t>
      </w:r>
      <w:r w:rsidR="00043C1D">
        <w:rPr>
          <w:rFonts w:ascii="Times New Roman" w:hAnsi="Times New Roman"/>
          <w:sz w:val="24"/>
          <w:szCs w:val="24"/>
        </w:rPr>
        <w:t>su 31. prosinca 2020. godine evidentirana na kontu 23957-Obveze za EU predujmove, s danom 02. siječnja 2021. godine priznati su kao prihodi.</w:t>
      </w:r>
      <w:r w:rsidR="00D25A7E">
        <w:rPr>
          <w:rFonts w:ascii="Times New Roman" w:hAnsi="Times New Roman"/>
          <w:sz w:val="24"/>
          <w:szCs w:val="24"/>
        </w:rPr>
        <w:t xml:space="preserve"> U 2022. godini</w:t>
      </w:r>
    </w:p>
    <w:p w14:paraId="1E3D574A" w14:textId="33A0522C" w:rsidR="00D25A7E" w:rsidRDefault="00D25A7E" w:rsidP="00043C1D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nismo imali ovu vrstu prihoda.</w:t>
      </w:r>
    </w:p>
    <w:p w14:paraId="287D3AC7" w14:textId="058CC30D" w:rsidR="00D25A7E" w:rsidRDefault="00D25A7E" w:rsidP="00043C1D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Bilješka broj 3.</w:t>
      </w:r>
    </w:p>
    <w:p w14:paraId="6D8DF9DE" w14:textId="5678D0F7" w:rsidR="00043C1D" w:rsidRDefault="00D25A7E" w:rsidP="00D25A7E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6413</w:t>
      </w:r>
      <w:r w:rsidR="00043C1D">
        <w:rPr>
          <w:rFonts w:ascii="Times New Roman" w:hAnsi="Times New Roman"/>
          <w:sz w:val="24"/>
          <w:szCs w:val="24"/>
        </w:rPr>
        <w:t xml:space="preserve"> – Kamate na oročena sredstva i depozite po viđenju – </w:t>
      </w:r>
      <w:r>
        <w:rPr>
          <w:rFonts w:ascii="Times New Roman" w:hAnsi="Times New Roman"/>
          <w:sz w:val="24"/>
          <w:szCs w:val="24"/>
        </w:rPr>
        <w:t>Škola ima znatno manje prihode</w:t>
      </w:r>
    </w:p>
    <w:p w14:paraId="73F5858B" w14:textId="4ABE3E4D" w:rsidR="00D25A7E" w:rsidRDefault="00D25A7E" w:rsidP="00D25A7E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kamata zbog novog Ugovora o poslovnoj suradnji.</w:t>
      </w:r>
    </w:p>
    <w:p w14:paraId="7F68F7E5" w14:textId="6BF8B91A" w:rsidR="00D25A7E" w:rsidRDefault="00D25A7E" w:rsidP="00D25A7E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Bilješka broj 4.</w:t>
      </w:r>
    </w:p>
    <w:p w14:paraId="32CFFE1D" w14:textId="470405FC" w:rsidR="006F1832" w:rsidRDefault="00D25A7E" w:rsidP="00D25A7E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6526 - </w:t>
      </w:r>
      <w:r w:rsidR="006F1832">
        <w:rPr>
          <w:rFonts w:ascii="Times New Roman" w:hAnsi="Times New Roman"/>
          <w:sz w:val="24"/>
          <w:szCs w:val="24"/>
        </w:rPr>
        <w:t xml:space="preserve">Ostali nespomenuti prihodi- </w:t>
      </w:r>
      <w:r>
        <w:rPr>
          <w:rFonts w:ascii="Times New Roman" w:hAnsi="Times New Roman"/>
          <w:sz w:val="24"/>
          <w:szCs w:val="24"/>
        </w:rPr>
        <w:t xml:space="preserve">zbog </w:t>
      </w:r>
      <w:r w:rsidR="005F1F77">
        <w:rPr>
          <w:rFonts w:ascii="Times New Roman" w:hAnsi="Times New Roman"/>
          <w:sz w:val="24"/>
          <w:szCs w:val="24"/>
        </w:rPr>
        <w:t xml:space="preserve">ukidanja epidemioloških mjera </w:t>
      </w:r>
    </w:p>
    <w:p w14:paraId="408F2DAE" w14:textId="7DB4DCFF" w:rsidR="005F1F77" w:rsidRDefault="008109E6" w:rsidP="00D25A7E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F1F77">
        <w:rPr>
          <w:rFonts w:ascii="Times New Roman" w:hAnsi="Times New Roman"/>
          <w:sz w:val="24"/>
          <w:szCs w:val="24"/>
        </w:rPr>
        <w:t>rganizira</w:t>
      </w:r>
      <w:r>
        <w:rPr>
          <w:rFonts w:ascii="Times New Roman" w:hAnsi="Times New Roman"/>
          <w:sz w:val="24"/>
          <w:szCs w:val="24"/>
        </w:rPr>
        <w:t>na su i provedena</w:t>
      </w:r>
      <w:r w:rsidR="005F1F77">
        <w:rPr>
          <w:rFonts w:ascii="Times New Roman" w:hAnsi="Times New Roman"/>
          <w:sz w:val="24"/>
          <w:szCs w:val="24"/>
        </w:rPr>
        <w:t xml:space="preserve"> tri jednodnevnih izleta</w:t>
      </w:r>
      <w:r>
        <w:rPr>
          <w:rFonts w:ascii="Times New Roman" w:hAnsi="Times New Roman"/>
          <w:sz w:val="24"/>
          <w:szCs w:val="24"/>
        </w:rPr>
        <w:t>.</w:t>
      </w:r>
    </w:p>
    <w:p w14:paraId="302E518F" w14:textId="7BFB9F95" w:rsidR="00FF408C" w:rsidRDefault="00FF408C" w:rsidP="00D25A7E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25FFA6" w14:textId="77777777" w:rsidR="00FF408C" w:rsidRDefault="00FF408C" w:rsidP="00D25A7E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28D0C4" w14:textId="0E92629E" w:rsidR="005F1F77" w:rsidRDefault="005F1F77" w:rsidP="00D25A7E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Bilješka broj 5.</w:t>
      </w:r>
    </w:p>
    <w:p w14:paraId="59F5D9A9" w14:textId="0496DD45" w:rsidR="006F1832" w:rsidRDefault="005F1F77" w:rsidP="00043C1D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6614</w:t>
      </w:r>
      <w:r w:rsidR="006F1832">
        <w:rPr>
          <w:rFonts w:ascii="Times New Roman" w:hAnsi="Times New Roman"/>
          <w:sz w:val="24"/>
          <w:szCs w:val="24"/>
        </w:rPr>
        <w:t xml:space="preserve"> – Prihodi od prodaje proizvoda i robe – ovdje su iskazani prihodi od prodaje roba Učeničke zadruge Kockavica.</w:t>
      </w:r>
    </w:p>
    <w:p w14:paraId="2AB34169" w14:textId="09DF72BF" w:rsidR="005F1F77" w:rsidRDefault="005F1F77" w:rsidP="00043C1D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Bilješka broj 6.</w:t>
      </w:r>
    </w:p>
    <w:p w14:paraId="44087E8B" w14:textId="6F15EA46" w:rsidR="005F1F77" w:rsidRDefault="005F1F7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6631</w:t>
      </w:r>
      <w:r w:rsidR="006F183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Tekuće donacije – Škola je dobila donacije u okviru projekata „Generacija now“,</w:t>
      </w:r>
    </w:p>
    <w:p w14:paraId="36C96269" w14:textId="3FB88AFC" w:rsidR="005F1F77" w:rsidRDefault="005F1F7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„Junior Engineer Academy 2.0“</w:t>
      </w:r>
      <w:r w:rsidR="001E2033">
        <w:rPr>
          <w:rFonts w:ascii="Times New Roman" w:hAnsi="Times New Roman"/>
          <w:sz w:val="24"/>
          <w:szCs w:val="24"/>
        </w:rPr>
        <w:t xml:space="preserve"> i donaciju opreme za nastavu Tjelesne i zdravstvene kulture.</w:t>
      </w:r>
    </w:p>
    <w:p w14:paraId="38E6E96B" w14:textId="36F0CAD2" w:rsidR="001E2033" w:rsidRDefault="001E2033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Bilješka broj 7.</w:t>
      </w:r>
    </w:p>
    <w:p w14:paraId="4EA1B540" w14:textId="71EDFE3B" w:rsidR="001E2033" w:rsidRDefault="001E2033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671 – Prihodi iz nadležnog proračuna – </w:t>
      </w:r>
      <w:r w:rsidR="008109E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rihodima u 2022. godini pokriven je manjak od 70.923,65 kn iz 2021. godine. Također je nabavljeno skener i pisač </w:t>
      </w:r>
      <w:r w:rsidR="004925C9">
        <w:rPr>
          <w:rFonts w:ascii="Times New Roman" w:hAnsi="Times New Roman"/>
          <w:sz w:val="24"/>
          <w:szCs w:val="24"/>
        </w:rPr>
        <w:t>zbog obveze prelaska</w:t>
      </w:r>
    </w:p>
    <w:p w14:paraId="65898B92" w14:textId="6B2B920D" w:rsidR="004925C9" w:rsidRDefault="004925C9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01.01.2023. g. na elektroničko uredsko poslovanje.</w:t>
      </w:r>
    </w:p>
    <w:p w14:paraId="018EF942" w14:textId="2258255E" w:rsidR="004925C9" w:rsidRDefault="004925C9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Bilješka broj 8.</w:t>
      </w:r>
    </w:p>
    <w:p w14:paraId="2A9E43C4" w14:textId="3170B97E" w:rsidR="004925C9" w:rsidRDefault="004925C9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681 – Ostali prihodi – su prihodi od prodaje starog željeza.</w:t>
      </w:r>
    </w:p>
    <w:p w14:paraId="4C88D87C" w14:textId="072DDFAC" w:rsidR="004925C9" w:rsidRDefault="004925C9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Bilješka broj 9.</w:t>
      </w:r>
    </w:p>
    <w:p w14:paraId="21A67C51" w14:textId="3BC43805" w:rsidR="00EA027C" w:rsidRDefault="004925C9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027C">
        <w:rPr>
          <w:rFonts w:ascii="Times New Roman" w:hAnsi="Times New Roman"/>
          <w:sz w:val="24"/>
          <w:szCs w:val="24"/>
        </w:rPr>
        <w:t>3113 – Plaće za prekovremeni rad</w:t>
      </w:r>
      <w:r>
        <w:rPr>
          <w:rFonts w:ascii="Times New Roman" w:hAnsi="Times New Roman"/>
          <w:sz w:val="24"/>
          <w:szCs w:val="24"/>
        </w:rPr>
        <w:t xml:space="preserve"> –</w:t>
      </w:r>
      <w:r w:rsidR="00EA027C">
        <w:rPr>
          <w:rFonts w:ascii="Times New Roman" w:hAnsi="Times New Roman"/>
          <w:sz w:val="24"/>
          <w:szCs w:val="24"/>
        </w:rPr>
        <w:t xml:space="preserve"> u tekućoj godini povećani su izdaci budući da nije bilo online nastave.</w:t>
      </w:r>
    </w:p>
    <w:p w14:paraId="37132171" w14:textId="14942C17" w:rsidR="004925C9" w:rsidRDefault="004925C9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Bilješka broj 10.</w:t>
      </w:r>
    </w:p>
    <w:p w14:paraId="136C1E8A" w14:textId="2FB4B378" w:rsidR="004925C9" w:rsidRDefault="004925C9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312 – Ostali rashodi za zaposlene – povećani su izdaci zbog većeg broja jubilarnih nagrada i </w:t>
      </w:r>
    </w:p>
    <w:p w14:paraId="4255CF2C" w14:textId="3BE1A9B6" w:rsidR="004925C9" w:rsidRDefault="00B50E10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pomoći za bolest i smrtni slučaj, kao i zbog povećanja božićnice i dara za djecu.</w:t>
      </w:r>
    </w:p>
    <w:p w14:paraId="740EEADF" w14:textId="49F02853" w:rsidR="00B50E10" w:rsidRDefault="00B50E10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Bilješka broj 11.</w:t>
      </w:r>
    </w:p>
    <w:p w14:paraId="4F16A55E" w14:textId="792ECE30" w:rsidR="00B50E10" w:rsidRDefault="00B50E10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3212-Naknade za prijevoz na posao –  visin</w:t>
      </w:r>
      <w:r w:rsidR="00A9340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naknade troškova</w:t>
      </w:r>
      <w:r w:rsidR="00A93403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 xml:space="preserve">rijevoza po prijeđenom kilometru </w:t>
      </w:r>
      <w:r w:rsidR="00A93403">
        <w:rPr>
          <w:rFonts w:ascii="Times New Roman" w:hAnsi="Times New Roman"/>
          <w:sz w:val="24"/>
          <w:szCs w:val="24"/>
        </w:rPr>
        <w:t xml:space="preserve">je povećana i </w:t>
      </w:r>
      <w:r>
        <w:rPr>
          <w:rFonts w:ascii="Times New Roman" w:hAnsi="Times New Roman"/>
          <w:sz w:val="24"/>
          <w:szCs w:val="24"/>
        </w:rPr>
        <w:t>usklađuje</w:t>
      </w:r>
      <w:r w:rsidR="00A93403">
        <w:rPr>
          <w:rFonts w:ascii="Times New Roman" w:hAnsi="Times New Roman"/>
          <w:sz w:val="24"/>
          <w:szCs w:val="24"/>
        </w:rPr>
        <w:t xml:space="preserve"> se</w:t>
      </w:r>
      <w:r>
        <w:rPr>
          <w:rFonts w:ascii="Times New Roman" w:hAnsi="Times New Roman"/>
          <w:sz w:val="24"/>
          <w:szCs w:val="24"/>
        </w:rPr>
        <w:t xml:space="preserve"> sa rastom cijene goriva.</w:t>
      </w:r>
    </w:p>
    <w:p w14:paraId="496D6FAA" w14:textId="4824C788" w:rsidR="00B50E10" w:rsidRDefault="00B50E10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Bilješka broj 12.</w:t>
      </w:r>
    </w:p>
    <w:p w14:paraId="46079083" w14:textId="2DE8C4CD" w:rsidR="00B50E10" w:rsidRDefault="00B50E10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3222 – Materijal i sirovine – ovdje je evidentiran materijal nabavljen za potrebe projekta</w:t>
      </w:r>
    </w:p>
    <w:p w14:paraId="55D2C87C" w14:textId="63138E2D" w:rsidR="00B50E10" w:rsidRDefault="00B50E10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(solarni automobil) u iznosu od 19.000,00 kn, kao i izdaci za provedbu projekta Sheme </w:t>
      </w:r>
    </w:p>
    <w:p w14:paraId="00423D8D" w14:textId="637E4795" w:rsidR="00B50E10" w:rsidRDefault="00B50E10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školskog voća.</w:t>
      </w:r>
    </w:p>
    <w:p w14:paraId="7E8D0A0C" w14:textId="195FE4F7" w:rsidR="00B50E10" w:rsidRDefault="00B50E10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Bilješka broj 13.</w:t>
      </w:r>
    </w:p>
    <w:p w14:paraId="285B4C47" w14:textId="77777777" w:rsidR="00D022AE" w:rsidRDefault="00B50E10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3224 – Materijal i dijelovi za tekuće i investicijsko održavanje – troškovi su povećani zbo</w:t>
      </w:r>
      <w:r w:rsidR="00D022AE">
        <w:rPr>
          <w:rFonts w:ascii="Times New Roman" w:hAnsi="Times New Roman"/>
          <w:sz w:val="24"/>
          <w:szCs w:val="24"/>
        </w:rPr>
        <w:t xml:space="preserve">g </w:t>
      </w:r>
    </w:p>
    <w:p w14:paraId="0EDF9D0B" w14:textId="518A17C2" w:rsidR="00B50E10" w:rsidRDefault="00B50E10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uređenja praktikuma za ugostiteljstvo.</w:t>
      </w:r>
    </w:p>
    <w:p w14:paraId="39BE50C2" w14:textId="3D549605" w:rsidR="00D022AE" w:rsidRDefault="00D022AE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Bilješka broj 14.</w:t>
      </w:r>
    </w:p>
    <w:p w14:paraId="710C233B" w14:textId="55FBA5E1" w:rsidR="00D022AE" w:rsidRDefault="00D022AE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3225 – Sitni inventar – nabavljeni su alati za </w:t>
      </w:r>
      <w:r w:rsidR="00A93403">
        <w:rPr>
          <w:rFonts w:ascii="Times New Roman" w:hAnsi="Times New Roman"/>
          <w:sz w:val="24"/>
          <w:szCs w:val="24"/>
        </w:rPr>
        <w:t xml:space="preserve">praktičnu </w:t>
      </w:r>
      <w:r>
        <w:rPr>
          <w:rFonts w:ascii="Times New Roman" w:hAnsi="Times New Roman"/>
          <w:sz w:val="24"/>
          <w:szCs w:val="24"/>
        </w:rPr>
        <w:t>nastavu strojarske i poljoprivredne grupe predmeta, kao i zastori za učionice.</w:t>
      </w:r>
    </w:p>
    <w:p w14:paraId="77FCD088" w14:textId="4CC5998E" w:rsidR="00D022AE" w:rsidRDefault="00D022AE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Bilješka broj 15.</w:t>
      </w:r>
    </w:p>
    <w:p w14:paraId="53A0CC27" w14:textId="2367EBA9" w:rsidR="00D022AE" w:rsidRDefault="00D022AE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3232 – Usluge tekućeg i investicijskog održavanja – tijekom 2021. g. ugrađena je panik rasvjeta u radionici za praktičnu nastavu u iznosu od 19.350,00 kn, pa su zbog toga troškovi</w:t>
      </w:r>
    </w:p>
    <w:p w14:paraId="64C87142" w14:textId="2F63EBF3" w:rsidR="00D022AE" w:rsidRDefault="00D022AE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prethodne godine veći.</w:t>
      </w:r>
    </w:p>
    <w:p w14:paraId="275FA524" w14:textId="05219205" w:rsidR="00D022AE" w:rsidRDefault="00D022AE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Bilješka broj 16.</w:t>
      </w:r>
    </w:p>
    <w:p w14:paraId="73EB8575" w14:textId="4C15CCA2" w:rsidR="00765116" w:rsidRDefault="00765116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3236 – </w:t>
      </w:r>
      <w:r w:rsidR="00A9340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dravstvene usluge – zbog pandemije zdravstveni pregledi zaposlenika u 2020. godini</w:t>
      </w:r>
    </w:p>
    <w:p w14:paraId="7797C441" w14:textId="7867C1E1" w:rsidR="00765116" w:rsidRDefault="00765116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nisu realizirani nego su prebačeni u 2021. g.</w:t>
      </w:r>
      <w:r w:rsidR="00A93403">
        <w:rPr>
          <w:rFonts w:ascii="Times New Roman" w:hAnsi="Times New Roman"/>
          <w:sz w:val="24"/>
          <w:szCs w:val="24"/>
        </w:rPr>
        <w:t xml:space="preserve"> </w:t>
      </w:r>
    </w:p>
    <w:p w14:paraId="6CFF0C2E" w14:textId="4BCE0D03" w:rsidR="00765116" w:rsidRDefault="00765116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Bilješka broj 17.</w:t>
      </w:r>
    </w:p>
    <w:p w14:paraId="3AD5FC6A" w14:textId="0FA5DC30" w:rsidR="00765116" w:rsidRDefault="00765116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3238 – Računalne usluge – do rujna 2021. godine troškovi e-tehničara obračunavani su kao ugovor o djelu, a početkom školske godine 2021./2022. sklopljen je ugovor sa Infobit obrtom za informatičke usluge, pa se plaćanja vrše na temelju izdanog računa.</w:t>
      </w:r>
    </w:p>
    <w:p w14:paraId="68FCD9AD" w14:textId="36977A6C" w:rsidR="00765116" w:rsidRDefault="00765116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Bilješka broj 18.</w:t>
      </w:r>
    </w:p>
    <w:p w14:paraId="6C405620" w14:textId="523F20DB" w:rsidR="00765116" w:rsidRDefault="00765116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3293 – Reprezentacija – budući da smo prošlu godinu imali minus na decentral</w:t>
      </w:r>
      <w:r w:rsidR="00A35787">
        <w:rPr>
          <w:rFonts w:ascii="Times New Roman" w:hAnsi="Times New Roman"/>
          <w:sz w:val="24"/>
          <w:szCs w:val="24"/>
        </w:rPr>
        <w:t>iziranim sredstvima uvedene su mjere štednje, pa su smanjeni troškovi reprezentacije.</w:t>
      </w:r>
    </w:p>
    <w:p w14:paraId="5ADC6279" w14:textId="53BAB1E5" w:rsidR="008109E6" w:rsidRDefault="008109E6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477449" w14:textId="1C44E30C" w:rsidR="008109E6" w:rsidRDefault="008109E6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C704A0" w14:textId="77777777" w:rsidR="008109E6" w:rsidRDefault="008109E6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79F1A5" w14:textId="564205B0" w:rsidR="00A35787" w:rsidRDefault="00A3578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Bilješka broj 19.</w:t>
      </w:r>
    </w:p>
    <w:p w14:paraId="3DE10528" w14:textId="14C54647" w:rsidR="00A35787" w:rsidRDefault="00A3578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3295 </w:t>
      </w:r>
      <w:r w:rsidR="00A55E6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Pristojbe</w:t>
      </w:r>
      <w:r w:rsidR="00A55E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3296 – Troškovi sudskih postupaka</w:t>
      </w:r>
      <w:r w:rsidR="00A55E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3433 Zatezne kamate -  su troškovi vezani uz radne sporove zbog neisplate uvećanja osnovice za plaću u razdoblju 01.01.2016.-31.01.2017.g.</w:t>
      </w:r>
    </w:p>
    <w:p w14:paraId="6F25D719" w14:textId="2DB192F9" w:rsidR="00A55E68" w:rsidRDefault="00A55E68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Bilješka broj 20.</w:t>
      </w:r>
    </w:p>
    <w:p w14:paraId="3ACB7857" w14:textId="1B6DCA47" w:rsidR="002A4D96" w:rsidRDefault="009F60C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92211 – Višak prihoda preneseni – </w:t>
      </w:r>
      <w:r w:rsidR="002A4D96">
        <w:rPr>
          <w:rFonts w:ascii="Times New Roman" w:hAnsi="Times New Roman"/>
          <w:sz w:val="24"/>
          <w:szCs w:val="24"/>
        </w:rPr>
        <w:t xml:space="preserve">veći je zbog </w:t>
      </w:r>
      <w:r>
        <w:rPr>
          <w:rFonts w:ascii="Times New Roman" w:hAnsi="Times New Roman"/>
          <w:sz w:val="24"/>
          <w:szCs w:val="24"/>
        </w:rPr>
        <w:t xml:space="preserve"> doznačen</w:t>
      </w:r>
      <w:r w:rsidR="002A4D96">
        <w:rPr>
          <w:rFonts w:ascii="Times New Roman" w:hAnsi="Times New Roman"/>
          <w:sz w:val="24"/>
          <w:szCs w:val="24"/>
        </w:rPr>
        <w:t>ih</w:t>
      </w:r>
      <w:r>
        <w:rPr>
          <w:rFonts w:ascii="Times New Roman" w:hAnsi="Times New Roman"/>
          <w:sz w:val="24"/>
          <w:szCs w:val="24"/>
        </w:rPr>
        <w:t xml:space="preserve"> sredstva za Ersmus+ projekte</w:t>
      </w:r>
      <w:r w:rsidR="002A4D96">
        <w:rPr>
          <w:rFonts w:ascii="Times New Roman" w:hAnsi="Times New Roman"/>
          <w:sz w:val="24"/>
          <w:szCs w:val="24"/>
        </w:rPr>
        <w:t xml:space="preserve"> čija realizacija se proteže kroz više godina.</w:t>
      </w:r>
    </w:p>
    <w:p w14:paraId="5AD10900" w14:textId="39A1E52E" w:rsidR="00A35787" w:rsidRDefault="009F60C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Bilješka broj 21.</w:t>
      </w:r>
    </w:p>
    <w:p w14:paraId="12E1EA9C" w14:textId="2DBB48CC" w:rsidR="009F60C7" w:rsidRDefault="009F60C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– Rashodi za nabavu nefinancijske imovine </w:t>
      </w:r>
      <w:r w:rsidR="002A4D9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A4D96">
        <w:rPr>
          <w:rFonts w:ascii="Times New Roman" w:hAnsi="Times New Roman"/>
          <w:sz w:val="24"/>
          <w:szCs w:val="24"/>
        </w:rPr>
        <w:t>u 2021. g. nabavili smo 20 školskih klupa,</w:t>
      </w:r>
    </w:p>
    <w:p w14:paraId="04E48DE2" w14:textId="7B0F4E12" w:rsidR="002A4D96" w:rsidRDefault="002A4D96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 je iznos znatno veći</w:t>
      </w:r>
      <w:r w:rsidR="00A93403">
        <w:rPr>
          <w:rFonts w:ascii="Times New Roman" w:hAnsi="Times New Roman"/>
          <w:sz w:val="24"/>
          <w:szCs w:val="24"/>
        </w:rPr>
        <w:t xml:space="preserve"> nego</w:t>
      </w:r>
      <w:r>
        <w:rPr>
          <w:rFonts w:ascii="Times New Roman" w:hAnsi="Times New Roman"/>
          <w:sz w:val="24"/>
          <w:szCs w:val="24"/>
        </w:rPr>
        <w:t xml:space="preserve"> prethodne godine.</w:t>
      </w:r>
    </w:p>
    <w:p w14:paraId="5DF139C3" w14:textId="5DF5C376" w:rsidR="002A4D96" w:rsidRDefault="002A4D96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Bilješka broj 22. </w:t>
      </w:r>
    </w:p>
    <w:p w14:paraId="5115AEE3" w14:textId="3C04E5BF" w:rsidR="00D63437" w:rsidRDefault="002A4D96" w:rsidP="00C9124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X006 – Višak prihoda i primitaka raspoloživ u slijedećem razdoblju </w:t>
      </w:r>
      <w:r w:rsidR="003C35C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91247">
        <w:rPr>
          <w:rFonts w:ascii="Times New Roman" w:hAnsi="Times New Roman"/>
          <w:sz w:val="24"/>
          <w:szCs w:val="24"/>
        </w:rPr>
        <w:t xml:space="preserve">preneseni višak prihoda iznosio je 595.157,27 kn, od čega su 436.199,49 kn sredstva za sudjelovanje u Erasmus+ projektima (Češka i Irska). Ta sredstva su utrošena tijekom godine na planirane aktivnosti, pa je Škola godinu </w:t>
      </w:r>
      <w:r w:rsidR="003C35C5">
        <w:rPr>
          <w:rFonts w:ascii="Times New Roman" w:hAnsi="Times New Roman"/>
          <w:sz w:val="24"/>
          <w:szCs w:val="24"/>
        </w:rPr>
        <w:t>završila sa minusom od 427.</w:t>
      </w:r>
      <w:r w:rsidR="00AE3C2D">
        <w:rPr>
          <w:rFonts w:ascii="Times New Roman" w:hAnsi="Times New Roman"/>
          <w:sz w:val="24"/>
          <w:szCs w:val="24"/>
        </w:rPr>
        <w:t>015</w:t>
      </w:r>
      <w:r w:rsidR="003C35C5">
        <w:rPr>
          <w:rFonts w:ascii="Times New Roman" w:hAnsi="Times New Roman"/>
          <w:sz w:val="24"/>
          <w:szCs w:val="24"/>
        </w:rPr>
        <w:t>,</w:t>
      </w:r>
      <w:r w:rsidR="00AE3C2D">
        <w:rPr>
          <w:rFonts w:ascii="Times New Roman" w:hAnsi="Times New Roman"/>
          <w:sz w:val="24"/>
          <w:szCs w:val="24"/>
        </w:rPr>
        <w:t>47</w:t>
      </w:r>
      <w:r w:rsidR="003C35C5">
        <w:rPr>
          <w:rFonts w:ascii="Times New Roman" w:hAnsi="Times New Roman"/>
          <w:sz w:val="24"/>
          <w:szCs w:val="24"/>
        </w:rPr>
        <w:t xml:space="preserve"> kn</w:t>
      </w:r>
      <w:r w:rsidR="00C91247">
        <w:rPr>
          <w:rFonts w:ascii="Times New Roman" w:hAnsi="Times New Roman"/>
          <w:sz w:val="24"/>
          <w:szCs w:val="24"/>
        </w:rPr>
        <w:t xml:space="preserve">. </w:t>
      </w:r>
      <w:r w:rsidR="00D82412">
        <w:rPr>
          <w:rFonts w:ascii="Times New Roman" w:hAnsi="Times New Roman"/>
          <w:sz w:val="24"/>
          <w:szCs w:val="24"/>
        </w:rPr>
        <w:t>Višak prihoda raspoloživ u slijedećem</w:t>
      </w:r>
    </w:p>
    <w:p w14:paraId="22EEB132" w14:textId="173A345E" w:rsidR="00D82412" w:rsidRDefault="00D82412" w:rsidP="00C9124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razdoblju iznosi 158.393,73 kn.</w:t>
      </w:r>
    </w:p>
    <w:p w14:paraId="63A5DD5C" w14:textId="26AB1D9B" w:rsidR="00D63437" w:rsidRPr="001542CC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D29F673" w14:textId="572C4E48" w:rsidR="00D63437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E22FAF">
        <w:rPr>
          <w:rFonts w:ascii="Times New Roman" w:hAnsi="Times New Roman"/>
          <w:b/>
          <w:bCs/>
          <w:sz w:val="24"/>
          <w:szCs w:val="24"/>
        </w:rPr>
        <w:t>. Bilješke uz Bilancu - BIL</w:t>
      </w:r>
      <w:r w:rsidRPr="00821D4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9C3F19A" w14:textId="246BDAAE" w:rsidR="003C35C5" w:rsidRDefault="003C35C5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5C5">
        <w:rPr>
          <w:rFonts w:ascii="Times New Roman" w:hAnsi="Times New Roman"/>
          <w:sz w:val="24"/>
          <w:szCs w:val="24"/>
        </w:rPr>
        <w:t>Bilješka broj 23.</w:t>
      </w:r>
    </w:p>
    <w:p w14:paraId="58B0F90F" w14:textId="5CBCA157" w:rsidR="003C35C5" w:rsidRDefault="003C35C5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Financijska imovina – na dan 31.12.2022.g. sredstva na žiro računu iznose 213.644,72 kn,</w:t>
      </w:r>
    </w:p>
    <w:p w14:paraId="7B449ECF" w14:textId="035F39A9" w:rsidR="00D63437" w:rsidRDefault="003C35C5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 su sredstva iz blagajne u iznosu od 66,30 kn uplaćena na žiro račun zbog konverzije u €.</w:t>
      </w:r>
    </w:p>
    <w:p w14:paraId="7733CD40" w14:textId="639C3201" w:rsidR="003C35C5" w:rsidRDefault="00B079E8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Hrvatski zavod za zdravstveno osiguranje je tijekom 2022.g. je refundirao naknadu plaće za bolovanje preko 42 dana pa su Ostala potraživanja umanjena. </w:t>
      </w:r>
    </w:p>
    <w:p w14:paraId="128D5680" w14:textId="77777777" w:rsidR="00D63437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33C242C" w14:textId="77777777" w:rsidR="00D63437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311CDC">
        <w:rPr>
          <w:rFonts w:ascii="Times New Roman" w:hAnsi="Times New Roman"/>
          <w:b/>
          <w:sz w:val="24"/>
          <w:szCs w:val="24"/>
        </w:rPr>
        <w:t>. Bilješke uz obrazac Ras-funkcijsk</w:t>
      </w:r>
      <w:r>
        <w:rPr>
          <w:rFonts w:ascii="Times New Roman" w:hAnsi="Times New Roman"/>
          <w:b/>
          <w:sz w:val="24"/>
          <w:szCs w:val="24"/>
        </w:rPr>
        <w:t>i</w:t>
      </w:r>
    </w:p>
    <w:p w14:paraId="7092640A" w14:textId="16396D85" w:rsidR="00D63437" w:rsidRDefault="004712D8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0922 – Više srednjoškolsko obrazovanje -</w:t>
      </w:r>
      <w:r w:rsidR="00D63437">
        <w:rPr>
          <w:rFonts w:ascii="Times New Roman" w:hAnsi="Times New Roman"/>
          <w:bCs/>
          <w:sz w:val="24"/>
          <w:szCs w:val="24"/>
        </w:rPr>
        <w:t xml:space="preserve"> Prema funkcijskoj klasifikaciji rashodi su iskazani u visini od</w:t>
      </w:r>
      <w:r w:rsidR="002E44DC">
        <w:rPr>
          <w:rFonts w:ascii="Times New Roman" w:hAnsi="Times New Roman"/>
          <w:bCs/>
          <w:sz w:val="24"/>
          <w:szCs w:val="24"/>
        </w:rPr>
        <w:t xml:space="preserve"> 7.311.730,98</w:t>
      </w:r>
      <w:r w:rsidR="00D63437">
        <w:rPr>
          <w:rFonts w:ascii="Times New Roman" w:hAnsi="Times New Roman"/>
          <w:bCs/>
          <w:sz w:val="24"/>
          <w:szCs w:val="24"/>
        </w:rPr>
        <w:t xml:space="preserve"> kn i odnose se na srednjoškolsko obrazovanje.</w:t>
      </w:r>
    </w:p>
    <w:p w14:paraId="3B14B6D7" w14:textId="77777777" w:rsidR="00D63437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4B71C77" w14:textId="77777777" w:rsidR="00D63437" w:rsidRPr="00821D41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E22FAF">
        <w:rPr>
          <w:rFonts w:ascii="Times New Roman" w:hAnsi="Times New Roman"/>
          <w:b/>
          <w:bCs/>
          <w:sz w:val="24"/>
          <w:szCs w:val="24"/>
        </w:rPr>
        <w:t>. Bilješke uz Izvještaj o promjenama u vrijednosti i obujmu imovine i obveza - P-VRIO</w:t>
      </w:r>
    </w:p>
    <w:p w14:paraId="3013A4CF" w14:textId="490D7C6E" w:rsidR="0039320E" w:rsidRPr="00FC4828" w:rsidRDefault="00D63437" w:rsidP="00B03CFF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713E">
        <w:rPr>
          <w:rFonts w:ascii="Times New Roman" w:hAnsi="Times New Roman"/>
          <w:bCs/>
          <w:sz w:val="24"/>
          <w:szCs w:val="24"/>
        </w:rPr>
        <w:t xml:space="preserve">Škola je ostvarila povećanje imovine u iznosu </w:t>
      </w:r>
      <w:r>
        <w:rPr>
          <w:rFonts w:ascii="Times New Roman" w:hAnsi="Times New Roman"/>
          <w:bCs/>
          <w:sz w:val="24"/>
          <w:szCs w:val="24"/>
        </w:rPr>
        <w:t xml:space="preserve">od </w:t>
      </w:r>
      <w:r w:rsidR="004712D8">
        <w:rPr>
          <w:rFonts w:ascii="Times New Roman" w:hAnsi="Times New Roman"/>
          <w:bCs/>
          <w:sz w:val="24"/>
          <w:szCs w:val="24"/>
        </w:rPr>
        <w:t>257,37</w:t>
      </w:r>
      <w:r>
        <w:rPr>
          <w:rFonts w:ascii="Times New Roman" w:hAnsi="Times New Roman"/>
          <w:bCs/>
          <w:sz w:val="24"/>
          <w:szCs w:val="24"/>
        </w:rPr>
        <w:t xml:space="preserve"> kn zbog evidentiranja </w:t>
      </w:r>
      <w:r w:rsidR="00B03CFF">
        <w:rPr>
          <w:rFonts w:ascii="Times New Roman" w:hAnsi="Times New Roman"/>
          <w:bCs/>
          <w:sz w:val="24"/>
          <w:szCs w:val="24"/>
        </w:rPr>
        <w:t>donacije knjiga.</w:t>
      </w:r>
    </w:p>
    <w:p w14:paraId="3A121554" w14:textId="77777777" w:rsidR="00D63437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2C91C5E" w14:textId="37E00212" w:rsidR="00D63437" w:rsidRDefault="00D63437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E22FAF">
        <w:rPr>
          <w:rFonts w:ascii="Times New Roman" w:hAnsi="Times New Roman"/>
          <w:b/>
          <w:bCs/>
          <w:sz w:val="24"/>
          <w:szCs w:val="24"/>
        </w:rPr>
        <w:t>. Bilješke uz Izvještaj o obvezama – Obveze</w:t>
      </w:r>
    </w:p>
    <w:p w14:paraId="27BC2D47" w14:textId="6EC5B983" w:rsidR="004712D8" w:rsidRDefault="004712D8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V006 – Stanje obveza na kraju izvještajnog razdoblja </w:t>
      </w:r>
    </w:p>
    <w:p w14:paraId="476778E7" w14:textId="51B2AE04" w:rsidR="004712D8" w:rsidRDefault="004712D8" w:rsidP="004712D8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Stanje dospjelih obveza na kraju izvještajnog razdoblja je 2.603,59 i odnosi se na ulazne račune. Nedospjele obveze su obveze za plaću za 12. mjesec (531.954,31 kn), bolovanje preko 42 dana (34.6</w:t>
      </w:r>
      <w:r w:rsidR="005E3D1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8,77 kn), troškovi prijevoza na posao za 12. mjesec (38.941,54 kn) te obveze prema dobavljačima (13.</w:t>
      </w:r>
      <w:r w:rsidR="00AE3C2D">
        <w:rPr>
          <w:rFonts w:ascii="Times New Roman" w:hAnsi="Times New Roman"/>
          <w:sz w:val="24"/>
          <w:szCs w:val="24"/>
        </w:rPr>
        <w:t>705</w:t>
      </w:r>
      <w:r>
        <w:rPr>
          <w:rFonts w:ascii="Times New Roman" w:hAnsi="Times New Roman"/>
          <w:sz w:val="24"/>
          <w:szCs w:val="24"/>
        </w:rPr>
        <w:t>,86 kn).</w:t>
      </w:r>
    </w:p>
    <w:p w14:paraId="54E7EC15" w14:textId="77777777" w:rsidR="004712D8" w:rsidRDefault="004712D8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31AE06F" w14:textId="77777777" w:rsidR="00140962" w:rsidRDefault="00140962" w:rsidP="00D63437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DF6BF3C" w14:textId="314B22B0" w:rsidR="00D63437" w:rsidRDefault="00D63437" w:rsidP="00140962">
      <w:pPr>
        <w:tabs>
          <w:tab w:val="right" w:pos="96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926A0">
        <w:rPr>
          <w:rFonts w:ascii="Times New Roman" w:hAnsi="Times New Roman"/>
          <w:bCs/>
          <w:sz w:val="24"/>
          <w:szCs w:val="24"/>
        </w:rPr>
        <w:tab/>
        <w:t xml:space="preserve">      </w:t>
      </w:r>
    </w:p>
    <w:p w14:paraId="7272943F" w14:textId="761DF748" w:rsidR="00D63437" w:rsidRDefault="00097983" w:rsidP="00D6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</w:t>
      </w:r>
      <w:r w:rsidR="00D63437">
        <w:rPr>
          <w:rFonts w:ascii="Times New Roman" w:hAnsi="Times New Roman"/>
          <w:bCs/>
          <w:sz w:val="24"/>
          <w:szCs w:val="24"/>
        </w:rPr>
        <w:t>oditeljica računovodstva:</w:t>
      </w:r>
      <w:r w:rsidR="00D63437">
        <w:rPr>
          <w:rFonts w:ascii="Times New Roman" w:hAnsi="Times New Roman"/>
          <w:bCs/>
          <w:sz w:val="24"/>
          <w:szCs w:val="24"/>
        </w:rPr>
        <w:tab/>
      </w:r>
      <w:r w:rsidR="00D63437">
        <w:rPr>
          <w:rFonts w:ascii="Times New Roman" w:hAnsi="Times New Roman"/>
          <w:bCs/>
          <w:sz w:val="24"/>
          <w:szCs w:val="24"/>
        </w:rPr>
        <w:tab/>
      </w:r>
      <w:r w:rsidR="00D63437">
        <w:rPr>
          <w:rFonts w:ascii="Times New Roman" w:hAnsi="Times New Roman"/>
          <w:bCs/>
          <w:sz w:val="24"/>
          <w:szCs w:val="24"/>
        </w:rPr>
        <w:tab/>
      </w:r>
      <w:r w:rsidR="00D63437">
        <w:rPr>
          <w:rFonts w:ascii="Times New Roman" w:hAnsi="Times New Roman"/>
          <w:bCs/>
          <w:sz w:val="24"/>
          <w:szCs w:val="24"/>
        </w:rPr>
        <w:tab/>
      </w:r>
      <w:r w:rsidR="00D63437">
        <w:rPr>
          <w:rFonts w:ascii="Times New Roman" w:hAnsi="Times New Roman"/>
          <w:bCs/>
          <w:sz w:val="24"/>
          <w:szCs w:val="24"/>
        </w:rPr>
        <w:tab/>
        <w:t xml:space="preserve">                  Ravnateljica:</w:t>
      </w:r>
    </w:p>
    <w:p w14:paraId="24F59397" w14:textId="77777777" w:rsidR="00D63437" w:rsidRDefault="00D63437" w:rsidP="00D6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937FE6C" w14:textId="1834BD19" w:rsidR="00D63437" w:rsidRDefault="00AE30C6" w:rsidP="00D6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="00D63437">
        <w:rPr>
          <w:rFonts w:ascii="Times New Roman" w:hAnsi="Times New Roman"/>
          <w:bCs/>
          <w:sz w:val="24"/>
          <w:szCs w:val="24"/>
        </w:rPr>
        <w:t>Ivanka Zima</w:t>
      </w:r>
      <w:r>
        <w:rPr>
          <w:rFonts w:ascii="Times New Roman" w:hAnsi="Times New Roman"/>
          <w:bCs/>
          <w:sz w:val="24"/>
          <w:szCs w:val="24"/>
        </w:rPr>
        <w:t>)</w:t>
      </w:r>
      <w:r w:rsidR="00D63437">
        <w:rPr>
          <w:rFonts w:ascii="Times New Roman" w:hAnsi="Times New Roman"/>
          <w:bCs/>
          <w:sz w:val="24"/>
          <w:szCs w:val="24"/>
        </w:rPr>
        <w:tab/>
      </w:r>
      <w:r w:rsidR="00D63437">
        <w:rPr>
          <w:rFonts w:ascii="Times New Roman" w:hAnsi="Times New Roman"/>
          <w:bCs/>
          <w:sz w:val="24"/>
          <w:szCs w:val="24"/>
        </w:rPr>
        <w:tab/>
      </w:r>
      <w:r w:rsidR="00D63437">
        <w:rPr>
          <w:rFonts w:ascii="Times New Roman" w:hAnsi="Times New Roman"/>
          <w:bCs/>
          <w:sz w:val="24"/>
          <w:szCs w:val="24"/>
        </w:rPr>
        <w:tab/>
      </w:r>
      <w:r w:rsidR="00D63437">
        <w:rPr>
          <w:rFonts w:ascii="Times New Roman" w:hAnsi="Times New Roman"/>
          <w:bCs/>
          <w:sz w:val="24"/>
          <w:szCs w:val="24"/>
        </w:rPr>
        <w:tab/>
      </w:r>
      <w:r w:rsidR="00D63437">
        <w:rPr>
          <w:rFonts w:ascii="Times New Roman" w:hAnsi="Times New Roman"/>
          <w:bCs/>
          <w:sz w:val="24"/>
          <w:szCs w:val="24"/>
        </w:rPr>
        <w:tab/>
      </w:r>
      <w:r w:rsidR="00D63437">
        <w:rPr>
          <w:rFonts w:ascii="Times New Roman" w:hAnsi="Times New Roman"/>
          <w:bCs/>
          <w:sz w:val="24"/>
          <w:szCs w:val="24"/>
        </w:rPr>
        <w:tab/>
        <w:t xml:space="preserve">               ( Ivana Orešković, dipl. oec.</w:t>
      </w:r>
      <w:r w:rsidR="001C1C87">
        <w:rPr>
          <w:rFonts w:ascii="Times New Roman" w:hAnsi="Times New Roman"/>
          <w:bCs/>
          <w:sz w:val="24"/>
          <w:szCs w:val="24"/>
        </w:rPr>
        <w:t>)</w:t>
      </w:r>
      <w:r w:rsidR="00D63437">
        <w:rPr>
          <w:rFonts w:ascii="Times New Roman" w:hAnsi="Times New Roman"/>
          <w:bCs/>
          <w:sz w:val="24"/>
          <w:szCs w:val="24"/>
        </w:rPr>
        <w:tab/>
      </w:r>
      <w:r w:rsidR="00D63437">
        <w:rPr>
          <w:rFonts w:ascii="Times New Roman" w:hAnsi="Times New Roman"/>
          <w:bCs/>
          <w:sz w:val="24"/>
          <w:szCs w:val="24"/>
        </w:rPr>
        <w:tab/>
      </w:r>
      <w:r w:rsidR="00D63437">
        <w:rPr>
          <w:rFonts w:ascii="Times New Roman" w:hAnsi="Times New Roman"/>
          <w:bCs/>
          <w:sz w:val="24"/>
          <w:szCs w:val="24"/>
        </w:rPr>
        <w:tab/>
      </w:r>
      <w:r w:rsidR="00D63437">
        <w:rPr>
          <w:rFonts w:ascii="Times New Roman" w:hAnsi="Times New Roman"/>
          <w:bCs/>
          <w:sz w:val="24"/>
          <w:szCs w:val="24"/>
        </w:rPr>
        <w:tab/>
      </w:r>
      <w:r w:rsidR="00D63437">
        <w:rPr>
          <w:rFonts w:ascii="Times New Roman" w:hAnsi="Times New Roman"/>
          <w:bCs/>
          <w:sz w:val="24"/>
          <w:szCs w:val="24"/>
        </w:rPr>
        <w:tab/>
      </w:r>
      <w:r w:rsidR="00D63437">
        <w:rPr>
          <w:rFonts w:ascii="Times New Roman" w:hAnsi="Times New Roman"/>
          <w:bCs/>
          <w:sz w:val="24"/>
          <w:szCs w:val="24"/>
        </w:rPr>
        <w:tab/>
      </w:r>
    </w:p>
    <w:sectPr w:rsidR="00D63437" w:rsidSect="00DF1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4" w:right="1417" w:bottom="1417" w:left="1417" w:header="567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FD5C" w14:textId="77777777" w:rsidR="00D42A51" w:rsidRDefault="00D42A51" w:rsidP="00D3498A">
      <w:pPr>
        <w:spacing w:after="0" w:line="240" w:lineRule="auto"/>
      </w:pPr>
      <w:r>
        <w:separator/>
      </w:r>
    </w:p>
  </w:endnote>
  <w:endnote w:type="continuationSeparator" w:id="0">
    <w:p w14:paraId="6FEFFE88" w14:textId="77777777" w:rsidR="00D42A51" w:rsidRDefault="00D42A51" w:rsidP="00D3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FCE2" w14:textId="77777777" w:rsidR="00435A7E" w:rsidRDefault="00435A7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BD51" w14:textId="77777777" w:rsidR="00AC22F2" w:rsidRPr="00C51A84" w:rsidRDefault="00AC22F2" w:rsidP="00DF11EA">
    <w:pPr>
      <w:pStyle w:val="Podnoje"/>
      <w:jc w:val="center"/>
    </w:pPr>
    <w:r w:rsidRPr="00C51A84">
      <w:t>Srednja škola Bartola Kašića Grubišno Polje, Bartola Kašića 1, 43290 Grubišno Polje</w:t>
    </w:r>
  </w:p>
  <w:p w14:paraId="30779CAD" w14:textId="77777777" w:rsidR="00AC22F2" w:rsidRPr="00C51A84" w:rsidRDefault="00AC22F2" w:rsidP="00DF11EA">
    <w:pPr>
      <w:pStyle w:val="Podnoje"/>
      <w:jc w:val="center"/>
      <w:rPr>
        <w:sz w:val="20"/>
        <w:szCs w:val="20"/>
      </w:rPr>
    </w:pPr>
    <w:r w:rsidRPr="00C51A84">
      <w:rPr>
        <w:sz w:val="20"/>
        <w:szCs w:val="20"/>
      </w:rPr>
      <w:t xml:space="preserve">Tel.: +385 43 485 040, E-mail: </w:t>
    </w:r>
    <w:hyperlink r:id="rId1" w:history="1">
      <w:r w:rsidRPr="00C51A84">
        <w:rPr>
          <w:rStyle w:val="Hiperveza"/>
          <w:sz w:val="20"/>
          <w:szCs w:val="20"/>
        </w:rPr>
        <w:t>ured@ss-bkasica-grubisnopolje.skole.hr</w:t>
      </w:r>
    </w:hyperlink>
    <w:r w:rsidRPr="00C51A84">
      <w:rPr>
        <w:sz w:val="20"/>
        <w:szCs w:val="20"/>
      </w:rPr>
      <w:t>,</w:t>
    </w:r>
  </w:p>
  <w:p w14:paraId="77C260ED" w14:textId="77777777" w:rsidR="00AC22F2" w:rsidRPr="00C51A84" w:rsidRDefault="00AC22F2" w:rsidP="00DF11EA">
    <w:pPr>
      <w:pStyle w:val="Podnoje"/>
      <w:jc w:val="center"/>
      <w:rPr>
        <w:sz w:val="20"/>
        <w:szCs w:val="20"/>
      </w:rPr>
    </w:pPr>
    <w:r w:rsidRPr="00C51A84">
      <w:rPr>
        <w:sz w:val="20"/>
        <w:szCs w:val="20"/>
      </w:rPr>
      <w:t>Web:  http://ss-bkasica-grubisnopolje.skole.hr</w:t>
    </w:r>
  </w:p>
  <w:p w14:paraId="770D5A42" w14:textId="77777777" w:rsidR="00D3498A" w:rsidRDefault="00D3498A" w:rsidP="00AC22F2">
    <w:pPr>
      <w:pStyle w:val="Podnoje"/>
      <w:tabs>
        <w:tab w:val="clear" w:pos="4536"/>
        <w:tab w:val="clear" w:pos="9072"/>
        <w:tab w:val="left" w:pos="272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2B36" w14:textId="77777777" w:rsidR="00435A7E" w:rsidRDefault="00435A7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400A" w14:textId="77777777" w:rsidR="00D42A51" w:rsidRDefault="00D42A51" w:rsidP="00D3498A">
      <w:pPr>
        <w:spacing w:after="0" w:line="240" w:lineRule="auto"/>
      </w:pPr>
      <w:bookmarkStart w:id="0" w:name="_Hlk92389402"/>
      <w:bookmarkEnd w:id="0"/>
      <w:r>
        <w:separator/>
      </w:r>
    </w:p>
  </w:footnote>
  <w:footnote w:type="continuationSeparator" w:id="0">
    <w:p w14:paraId="71F80C3F" w14:textId="77777777" w:rsidR="00D42A51" w:rsidRDefault="00D42A51" w:rsidP="00D34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2648" w14:textId="77777777" w:rsidR="00435A7E" w:rsidRDefault="00435A7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08C8" w14:textId="6F7213A5" w:rsidR="00D3498A" w:rsidRPr="00D3498A" w:rsidRDefault="00C80C52" w:rsidP="00C51A84">
    <w:pPr>
      <w:pStyle w:val="Zaglavlje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4C3AA17" wp14:editId="5FD4529C">
              <wp:simplePos x="0" y="0"/>
              <wp:positionH relativeFrom="column">
                <wp:posOffset>1170305</wp:posOffset>
              </wp:positionH>
              <wp:positionV relativeFrom="paragraph">
                <wp:posOffset>-67945</wp:posOffset>
              </wp:positionV>
              <wp:extent cx="4844415" cy="840740"/>
              <wp:effectExtent l="0" t="0" r="0" b="0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4415" cy="840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FA4914B" w14:textId="77777777" w:rsidR="00DF11EA" w:rsidRPr="007027F1" w:rsidRDefault="00D3498A" w:rsidP="00DF11EA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7027F1">
                            <w:rPr>
                              <w:rFonts w:cs="Calibri"/>
                              <w:b/>
                              <w:bCs/>
                              <w:sz w:val="32"/>
                              <w:szCs w:val="32"/>
                            </w:rPr>
                            <w:t>SREDNJA ŠKOLA BARTOLA KAŠIĆA GRUBIŠNO POLJE</w:t>
                          </w:r>
                        </w:p>
                        <w:p w14:paraId="3766A0DF" w14:textId="77777777" w:rsidR="00AC22F2" w:rsidRPr="007027F1" w:rsidRDefault="00AC22F2" w:rsidP="00DF11EA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7027F1">
                            <w:rPr>
                              <w:rFonts w:cs="Calibri"/>
                              <w:sz w:val="24"/>
                              <w:szCs w:val="24"/>
                            </w:rPr>
                            <w:t>Opća gimnazija, elektrotehnička, industrijska, gospodarska i obrtnička škola</w:t>
                          </w:r>
                        </w:p>
                        <w:p w14:paraId="77364E72" w14:textId="77777777" w:rsidR="00AC22F2" w:rsidRPr="007027F1" w:rsidRDefault="00AC22F2" w:rsidP="00DF11EA">
                          <w:pPr>
                            <w:spacing w:after="0"/>
                            <w:jc w:val="center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7027F1">
                            <w:rPr>
                              <w:rFonts w:cs="Calibri"/>
                              <w:sz w:val="24"/>
                              <w:szCs w:val="24"/>
                            </w:rPr>
                            <w:t>Bartola Kašića 1, 43290 Grubišno Polje</w:t>
                          </w:r>
                        </w:p>
                        <w:p w14:paraId="796C5788" w14:textId="77777777" w:rsidR="00AC22F2" w:rsidRDefault="00AC22F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C3AA17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92.15pt;margin-top:-5.35pt;width:381.45pt;height:66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" stroked="f">
              <v:textbox>
                <w:txbxContent>
                  <w:p w14:paraId="0FA4914B" w14:textId="77777777" w:rsidR="00DF11EA" w:rsidRPr="007027F1" w:rsidRDefault="00D3498A" w:rsidP="00DF11EA">
                    <w:pPr>
                      <w:spacing w:after="0"/>
                      <w:jc w:val="center"/>
                      <w:rPr>
                        <w:rFonts w:cs="Calibri"/>
                        <w:b/>
                        <w:bCs/>
                        <w:sz w:val="32"/>
                        <w:szCs w:val="32"/>
                      </w:rPr>
                    </w:pPr>
                    <w:r w:rsidRPr="007027F1">
                      <w:rPr>
                        <w:rFonts w:cs="Calibri"/>
                        <w:b/>
                        <w:bCs/>
                        <w:sz w:val="32"/>
                        <w:szCs w:val="32"/>
                      </w:rPr>
                      <w:t>SREDNJA ŠKOLA BARTOLA KAŠIĆA GRUBIŠNO POLJE</w:t>
                    </w:r>
                  </w:p>
                  <w:p w14:paraId="3766A0DF" w14:textId="77777777" w:rsidR="00AC22F2" w:rsidRPr="007027F1" w:rsidRDefault="00AC22F2" w:rsidP="00DF11EA">
                    <w:pPr>
                      <w:spacing w:after="0"/>
                      <w:jc w:val="center"/>
                      <w:rPr>
                        <w:rFonts w:cs="Calibri"/>
                        <w:b/>
                        <w:bCs/>
                        <w:sz w:val="32"/>
                        <w:szCs w:val="32"/>
                      </w:rPr>
                    </w:pPr>
                    <w:r w:rsidRPr="007027F1">
                      <w:rPr>
                        <w:rFonts w:cs="Calibri"/>
                        <w:sz w:val="24"/>
                        <w:szCs w:val="24"/>
                      </w:rPr>
                      <w:t>Opća gimnazija, elektrotehnička, industrijska, gospodarska i obrtnička škola</w:t>
                    </w:r>
                  </w:p>
                  <w:p w14:paraId="77364E72" w14:textId="77777777" w:rsidR="00AC22F2" w:rsidRPr="007027F1" w:rsidRDefault="00AC22F2" w:rsidP="00DF11EA">
                    <w:pPr>
                      <w:spacing w:after="0"/>
                      <w:jc w:val="center"/>
                      <w:rPr>
                        <w:rFonts w:cs="Calibri"/>
                        <w:sz w:val="24"/>
                        <w:szCs w:val="24"/>
                      </w:rPr>
                    </w:pPr>
                    <w:r w:rsidRPr="007027F1">
                      <w:rPr>
                        <w:rFonts w:cs="Calibri"/>
                        <w:sz w:val="24"/>
                        <w:szCs w:val="24"/>
                      </w:rPr>
                      <w:t>Bartola Kašića 1, 43290 Grubišno Polje</w:t>
                    </w:r>
                  </w:p>
                  <w:p w14:paraId="796C5788" w14:textId="77777777" w:rsidR="00AC22F2" w:rsidRDefault="00AC22F2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160F505" wp14:editId="031BE42B">
          <wp:simplePos x="0" y="0"/>
          <wp:positionH relativeFrom="column">
            <wp:posOffset>-192405</wp:posOffset>
          </wp:positionH>
          <wp:positionV relativeFrom="paragraph">
            <wp:posOffset>-268605</wp:posOffset>
          </wp:positionV>
          <wp:extent cx="1403985" cy="1052195"/>
          <wp:effectExtent l="0" t="0" r="0" b="0"/>
          <wp:wrapThrough wrapText="bothSides">
            <wp:wrapPolygon edited="0">
              <wp:start x="15533" y="5084"/>
              <wp:lineTo x="1465" y="5866"/>
              <wp:lineTo x="293" y="9386"/>
              <wp:lineTo x="1758" y="12123"/>
              <wp:lineTo x="293" y="15643"/>
              <wp:lineTo x="879" y="16425"/>
              <wp:lineTo x="15240" y="18380"/>
              <wp:lineTo x="15240" y="19944"/>
              <wp:lineTo x="17292" y="19944"/>
              <wp:lineTo x="21395" y="13296"/>
              <wp:lineTo x="21395" y="12123"/>
              <wp:lineTo x="20223" y="5084"/>
              <wp:lineTo x="15533" y="5084"/>
            </wp:wrapPolygon>
          </wp:wrapThrough>
          <wp:docPr id="1" name="Graf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Grafika 41"/>
                  <pic:cNvPicPr/>
                </pic:nvPicPr>
                <pic:blipFill rotWithShape="1">
                  <a:blip r:embed="rId1"/>
                  <a:srcRect l="19994" t="29674" r="15286" b="37879"/>
                  <a:stretch/>
                </pic:blipFill>
                <pic:spPr bwMode="auto">
                  <a:xfrm>
                    <a:off x="0" y="0"/>
                    <a:ext cx="1403985" cy="10521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98ED" w14:textId="77777777" w:rsidR="00435A7E" w:rsidRDefault="00435A7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1357"/>
    <w:multiLevelType w:val="hybridMultilevel"/>
    <w:tmpl w:val="0618351E"/>
    <w:lvl w:ilvl="0" w:tplc="C144F516">
      <w:start w:val="10"/>
      <w:numFmt w:val="decimal"/>
      <w:lvlText w:val="%1"/>
      <w:lvlJc w:val="left"/>
      <w:pPr>
        <w:ind w:left="61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6840" w:hanging="360"/>
      </w:pPr>
    </w:lvl>
    <w:lvl w:ilvl="2" w:tplc="041A001B" w:tentative="1">
      <w:start w:val="1"/>
      <w:numFmt w:val="lowerRoman"/>
      <w:lvlText w:val="%3."/>
      <w:lvlJc w:val="right"/>
      <w:pPr>
        <w:ind w:left="7560" w:hanging="180"/>
      </w:pPr>
    </w:lvl>
    <w:lvl w:ilvl="3" w:tplc="041A000F" w:tentative="1">
      <w:start w:val="1"/>
      <w:numFmt w:val="decimal"/>
      <w:lvlText w:val="%4."/>
      <w:lvlJc w:val="left"/>
      <w:pPr>
        <w:ind w:left="8280" w:hanging="360"/>
      </w:pPr>
    </w:lvl>
    <w:lvl w:ilvl="4" w:tplc="041A0019" w:tentative="1">
      <w:start w:val="1"/>
      <w:numFmt w:val="lowerLetter"/>
      <w:lvlText w:val="%5."/>
      <w:lvlJc w:val="left"/>
      <w:pPr>
        <w:ind w:left="9000" w:hanging="360"/>
      </w:pPr>
    </w:lvl>
    <w:lvl w:ilvl="5" w:tplc="041A001B" w:tentative="1">
      <w:start w:val="1"/>
      <w:numFmt w:val="lowerRoman"/>
      <w:lvlText w:val="%6."/>
      <w:lvlJc w:val="right"/>
      <w:pPr>
        <w:ind w:left="9720" w:hanging="180"/>
      </w:pPr>
    </w:lvl>
    <w:lvl w:ilvl="6" w:tplc="041A000F" w:tentative="1">
      <w:start w:val="1"/>
      <w:numFmt w:val="decimal"/>
      <w:lvlText w:val="%7."/>
      <w:lvlJc w:val="left"/>
      <w:pPr>
        <w:ind w:left="10440" w:hanging="360"/>
      </w:pPr>
    </w:lvl>
    <w:lvl w:ilvl="7" w:tplc="041A0019" w:tentative="1">
      <w:start w:val="1"/>
      <w:numFmt w:val="lowerLetter"/>
      <w:lvlText w:val="%8."/>
      <w:lvlJc w:val="left"/>
      <w:pPr>
        <w:ind w:left="11160" w:hanging="360"/>
      </w:pPr>
    </w:lvl>
    <w:lvl w:ilvl="8" w:tplc="041A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 w15:restartNumberingAfterBreak="0">
    <w:nsid w:val="5BF80193"/>
    <w:multiLevelType w:val="hybridMultilevel"/>
    <w:tmpl w:val="6B448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45EE8"/>
    <w:multiLevelType w:val="hybridMultilevel"/>
    <w:tmpl w:val="2F3EAD92"/>
    <w:lvl w:ilvl="0" w:tplc="5816AA50">
      <w:start w:val="10"/>
      <w:numFmt w:val="bullet"/>
      <w:lvlText w:val="-"/>
      <w:lvlJc w:val="left"/>
      <w:pPr>
        <w:ind w:left="213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5201C5C"/>
    <w:multiLevelType w:val="multilevel"/>
    <w:tmpl w:val="319EFB9E"/>
    <w:styleLink w:val="Trenutnipopis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67931277">
    <w:abstractNumId w:val="0"/>
  </w:num>
  <w:num w:numId="2" w16cid:durableId="1922594624">
    <w:abstractNumId w:val="2"/>
  </w:num>
  <w:num w:numId="3" w16cid:durableId="294602968">
    <w:abstractNumId w:val="1"/>
  </w:num>
  <w:num w:numId="4" w16cid:durableId="1406493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37"/>
    <w:rsid w:val="00043C1D"/>
    <w:rsid w:val="000623BF"/>
    <w:rsid w:val="00097983"/>
    <w:rsid w:val="00140962"/>
    <w:rsid w:val="001542CC"/>
    <w:rsid w:val="00166D42"/>
    <w:rsid w:val="0017451A"/>
    <w:rsid w:val="001C1C87"/>
    <w:rsid w:val="001E2033"/>
    <w:rsid w:val="001F462A"/>
    <w:rsid w:val="00244275"/>
    <w:rsid w:val="0027635A"/>
    <w:rsid w:val="002A4CBD"/>
    <w:rsid w:val="002A4D96"/>
    <w:rsid w:val="002E44DC"/>
    <w:rsid w:val="00302002"/>
    <w:rsid w:val="003025F6"/>
    <w:rsid w:val="0039320E"/>
    <w:rsid w:val="003A5904"/>
    <w:rsid w:val="003C35C5"/>
    <w:rsid w:val="003D33E2"/>
    <w:rsid w:val="00435A7E"/>
    <w:rsid w:val="0047114B"/>
    <w:rsid w:val="004712D8"/>
    <w:rsid w:val="00474A66"/>
    <w:rsid w:val="004925C9"/>
    <w:rsid w:val="00530EED"/>
    <w:rsid w:val="0058110B"/>
    <w:rsid w:val="005B3DC8"/>
    <w:rsid w:val="005E3D12"/>
    <w:rsid w:val="005E68AB"/>
    <w:rsid w:val="005F1F77"/>
    <w:rsid w:val="00606F3F"/>
    <w:rsid w:val="0066396F"/>
    <w:rsid w:val="006F1832"/>
    <w:rsid w:val="007027F1"/>
    <w:rsid w:val="00744591"/>
    <w:rsid w:val="00765116"/>
    <w:rsid w:val="008109E6"/>
    <w:rsid w:val="00841880"/>
    <w:rsid w:val="0085504C"/>
    <w:rsid w:val="008673CA"/>
    <w:rsid w:val="008D41D0"/>
    <w:rsid w:val="00904248"/>
    <w:rsid w:val="00913002"/>
    <w:rsid w:val="00922B7F"/>
    <w:rsid w:val="009A2B25"/>
    <w:rsid w:val="009D4E05"/>
    <w:rsid w:val="009F3CBA"/>
    <w:rsid w:val="009F60C7"/>
    <w:rsid w:val="00A35787"/>
    <w:rsid w:val="00A53656"/>
    <w:rsid w:val="00A55E68"/>
    <w:rsid w:val="00A71C42"/>
    <w:rsid w:val="00A93403"/>
    <w:rsid w:val="00AC1649"/>
    <w:rsid w:val="00AC22F2"/>
    <w:rsid w:val="00AE30C6"/>
    <w:rsid w:val="00AE3C2D"/>
    <w:rsid w:val="00B025D7"/>
    <w:rsid w:val="00B03CFF"/>
    <w:rsid w:val="00B079E8"/>
    <w:rsid w:val="00B36111"/>
    <w:rsid w:val="00B50E10"/>
    <w:rsid w:val="00B72CF4"/>
    <w:rsid w:val="00B959A5"/>
    <w:rsid w:val="00BC2020"/>
    <w:rsid w:val="00BD7EA0"/>
    <w:rsid w:val="00C00B74"/>
    <w:rsid w:val="00C018AC"/>
    <w:rsid w:val="00C51A84"/>
    <w:rsid w:val="00C6174B"/>
    <w:rsid w:val="00C80C52"/>
    <w:rsid w:val="00C91247"/>
    <w:rsid w:val="00CB66FC"/>
    <w:rsid w:val="00D022AE"/>
    <w:rsid w:val="00D23B47"/>
    <w:rsid w:val="00D25A7E"/>
    <w:rsid w:val="00D3176D"/>
    <w:rsid w:val="00D3498A"/>
    <w:rsid w:val="00D35416"/>
    <w:rsid w:val="00D42A51"/>
    <w:rsid w:val="00D63437"/>
    <w:rsid w:val="00D66227"/>
    <w:rsid w:val="00D7443E"/>
    <w:rsid w:val="00D82412"/>
    <w:rsid w:val="00D97439"/>
    <w:rsid w:val="00DB4BD0"/>
    <w:rsid w:val="00DF11EA"/>
    <w:rsid w:val="00DF3E3D"/>
    <w:rsid w:val="00DF53E5"/>
    <w:rsid w:val="00DF6C2B"/>
    <w:rsid w:val="00DF7FC8"/>
    <w:rsid w:val="00E02E84"/>
    <w:rsid w:val="00EA027C"/>
    <w:rsid w:val="00EB0601"/>
    <w:rsid w:val="00FB365B"/>
    <w:rsid w:val="00FD0C23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5FFE4"/>
  <w15:chartTrackingRefBased/>
  <w15:docId w15:val="{397395AC-AC4A-4FF1-8D30-77CC06C4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CF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34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498A"/>
  </w:style>
  <w:style w:type="paragraph" w:styleId="Podnoje">
    <w:name w:val="footer"/>
    <w:basedOn w:val="Normal"/>
    <w:link w:val="PodnojeChar"/>
    <w:uiPriority w:val="99"/>
    <w:unhideWhenUsed/>
    <w:rsid w:val="00D34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498A"/>
  </w:style>
  <w:style w:type="character" w:styleId="Hiperveza">
    <w:name w:val="Hyperlink"/>
    <w:uiPriority w:val="99"/>
    <w:unhideWhenUsed/>
    <w:rsid w:val="00AC22F2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AC22F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71C42"/>
    <w:pPr>
      <w:ind w:left="720"/>
      <w:contextualSpacing/>
    </w:pPr>
  </w:style>
  <w:style w:type="numbering" w:customStyle="1" w:styleId="Trenutnipopis1">
    <w:name w:val="Trenutni popis1"/>
    <w:uiPriority w:val="99"/>
    <w:rsid w:val="00606F3F"/>
    <w:pPr>
      <w:numPr>
        <w:numId w:val="4"/>
      </w:numPr>
    </w:pPr>
  </w:style>
  <w:style w:type="table" w:styleId="Reetkatablice">
    <w:name w:val="Table Grid"/>
    <w:basedOn w:val="Obinatablica"/>
    <w:uiPriority w:val="39"/>
    <w:rsid w:val="00867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ss-bkasica-grubisnopolje.skole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ka\Desktop\Memorandu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37CBD-5420-4AE6-9E7D-58D50747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415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Links>
    <vt:vector size="6" baseType="variant">
      <vt:variant>
        <vt:i4>3604570</vt:i4>
      </vt:variant>
      <vt:variant>
        <vt:i4>0</vt:i4>
      </vt:variant>
      <vt:variant>
        <vt:i4>0</vt:i4>
      </vt:variant>
      <vt:variant>
        <vt:i4>5</vt:i4>
      </vt:variant>
      <vt:variant>
        <vt:lpwstr>mailto:ured@ss-bkasica-grubisnopolje.skole.hr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Ivanka</cp:lastModifiedBy>
  <cp:revision>29</cp:revision>
  <cp:lastPrinted>2023-01-31T07:41:00Z</cp:lastPrinted>
  <dcterms:created xsi:type="dcterms:W3CDTF">2022-01-25T08:42:00Z</dcterms:created>
  <dcterms:modified xsi:type="dcterms:W3CDTF">2023-01-31T07:59:00Z</dcterms:modified>
</cp:coreProperties>
</file>